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720"/>
        <w:contextualSpacing w:val="0"/>
      </w:pPr>
      <w:r w:rsidDel="00000000" w:rsidR="00000000" w:rsidRPr="00000000">
        <w:rPr>
          <w:rFonts w:ascii="Arial" w:cs="Arial" w:eastAsia="Arial" w:hAnsi="Arial"/>
          <w:u w:val="single"/>
          <w:rtl w:val="0"/>
        </w:rPr>
        <w:t xml:space="preserve">Places Where People Live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By: Jordan Kochevar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Subject: Social Studies (History)/Language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Topic: Native American Dwellings/Communities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Grade: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Lesson Length: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One: 30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Learner Outline (Objectives)</w:t>
      </w:r>
      <w:r w:rsidDel="00000000" w:rsidR="00000000" w:rsidRPr="00000000">
        <w:rPr>
          <w:rtl w:val="0"/>
        </w:rPr>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 </w:t>
      </w:r>
      <w:r w:rsidDel="00000000" w:rsidR="00000000" w:rsidRPr="00000000">
        <w:rPr>
          <w:rFonts w:ascii="Arial" w:cs="Arial" w:eastAsia="Arial" w:hAnsi="Arial"/>
          <w:b w:val="0"/>
          <w:i w:val="1"/>
          <w:sz w:val="24"/>
          <w:szCs w:val="24"/>
          <w:rtl w:val="0"/>
        </w:rPr>
        <w:t xml:space="preserve">People, Cultures and Changes Over Time</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2.4.2.4.1</w:t>
      </w:r>
      <w:r w:rsidDel="00000000" w:rsidR="00000000" w:rsidRPr="00000000">
        <w:rPr>
          <w:rFonts w:ascii="Arial" w:cs="Arial" w:eastAsia="Arial" w:hAnsi="Arial"/>
          <w:b w:val="0"/>
          <w:sz w:val="24"/>
          <w:szCs w:val="24"/>
          <w:rtl w:val="0"/>
        </w:rPr>
        <w:t xml:space="preserve"> Students will explore the differences and similarities of cultures around the world and attribute them to their origins and histories, and interactions with other cultures around the world.</w:t>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 </w:t>
      </w:r>
      <w:r w:rsidDel="00000000" w:rsidR="00000000" w:rsidRPr="00000000">
        <w:rPr>
          <w:rFonts w:ascii="Arial" w:cs="Arial" w:eastAsia="Arial" w:hAnsi="Arial"/>
          <w:b w:val="0"/>
          <w:i w:val="1"/>
          <w:sz w:val="24"/>
          <w:szCs w:val="24"/>
          <w:rtl w:val="0"/>
        </w:rPr>
        <w:t xml:space="preserve">People, Cultures, and Changes Over Time</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2.4.2.4.2</w:t>
      </w:r>
      <w:r w:rsidDel="00000000" w:rsidR="00000000" w:rsidRPr="00000000">
        <w:rPr>
          <w:rFonts w:ascii="Arial" w:cs="Arial" w:eastAsia="Arial" w:hAnsi="Arial"/>
          <w:b w:val="0"/>
          <w:sz w:val="24"/>
          <w:szCs w:val="24"/>
          <w:rtl w:val="0"/>
        </w:rPr>
        <w:t xml:space="preserve"> Students will explore the differences and similarities of cultures around the world are attributable to their diverse origins and histories, and interactions with other cultures throughout time.</w:t>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3.4.1.2.3</w:t>
      </w:r>
      <w:r w:rsidDel="00000000" w:rsidR="00000000" w:rsidRPr="00000000">
        <w:rPr>
          <w:rFonts w:ascii="Arial" w:cs="Arial" w:eastAsia="Arial" w:hAnsi="Arial"/>
          <w:b w:val="0"/>
          <w:sz w:val="24"/>
          <w:szCs w:val="24"/>
          <w:rtl w:val="0"/>
        </w:rPr>
        <w:t xml:space="preserve"> Students will investigate a process in which sources and evidence is used to draw conclusions about how things happened in the past. </w:t>
      </w:r>
    </w:p>
    <w:p w:rsidR="00000000" w:rsidDel="00000000" w:rsidP="00000000" w:rsidRDefault="00000000" w:rsidRPr="00000000">
      <w:pPr>
        <w:numPr>
          <w:ilvl w:val="0"/>
          <w:numId w:val="1"/>
        </w:numPr>
        <w:spacing w:after="0" w:before="0" w:line="240" w:lineRule="auto"/>
        <w:ind w:left="5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Reading: </w:t>
      </w:r>
      <w:r w:rsidDel="00000000" w:rsidR="00000000" w:rsidRPr="00000000">
        <w:rPr>
          <w:rFonts w:ascii="Arial" w:cs="Arial" w:eastAsia="Arial" w:hAnsi="Arial"/>
          <w:b w:val="0"/>
          <w:i w:val="1"/>
          <w:sz w:val="24"/>
          <w:szCs w:val="24"/>
          <w:u w:val="single"/>
          <w:rtl w:val="0"/>
        </w:rPr>
        <w:t xml:space="preserve">Key Ideas and Details</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rtl w:val="0"/>
        </w:rPr>
        <w:t xml:space="preserve">2.1.2.2</w:t>
      </w:r>
      <w:r w:rsidDel="00000000" w:rsidR="00000000" w:rsidRPr="00000000">
        <w:rPr>
          <w:rFonts w:ascii="Arial" w:cs="Arial" w:eastAsia="Arial" w:hAnsi="Arial"/>
          <w:b w:val="0"/>
          <w:sz w:val="24"/>
          <w:szCs w:val="24"/>
          <w:rtl w:val="0"/>
        </w:rPr>
        <w:t xml:space="preserve"> Students will recount stories, including fables and folktales from diverse cultures, to determine their central message, lesson, and moral.  </w:t>
      </w:r>
    </w:p>
    <w:p w:rsidR="00000000" w:rsidDel="00000000" w:rsidP="00000000" w:rsidRDefault="00000000" w:rsidRPr="00000000">
      <w:pPr>
        <w:ind w:left="140" w:firstLine="0"/>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w:rPr>
          <w:rFonts w:ascii="Arial" w:cs="Arial" w:eastAsia="Arial" w:hAnsi="Arial"/>
          <w:u w:val="single"/>
          <w:rtl w:val="0"/>
        </w:rPr>
        <w:t xml:space="preserve">Lesson Preview:</w:t>
      </w:r>
      <w:r w:rsidDel="00000000" w:rsidR="00000000" w:rsidRPr="00000000">
        <w:rPr>
          <w:rFonts w:ascii="Arial" w:cs="Arial" w:eastAsia="Arial" w:hAnsi="Arial"/>
          <w:rtl w:val="0"/>
        </w:rPr>
        <w:t xml:space="preserve"> </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This is lesson will give the students some background knowledge about the different types of housing our Native Americans lived in. It will explain why different groups chose the particular building material/structure that they did. Students will work with their teacher to create a KWL chart to explore this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w:rPr>
          <w:rFonts w:ascii="Arial" w:cs="Arial" w:eastAsia="Arial" w:hAnsi="Arial"/>
          <w:u w:val="single"/>
          <w:rtl w:val="0"/>
        </w:rPr>
        <w:t xml:space="preserve">Procedure:</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Have a KWL chart visible to the class. It can be drawn on the board or on an interactive whiteboard.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Start off by asking the students what they know about Native American Dwelling (Homes) Write responses in the “Know” section of the chart.</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Write down what we “Want to know” in the appropriate column. Make sure to include: What types of houses were built? What materials did they use to build their houses?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Show students photos of actual dioramas of what different dwellings looked like. Talk about the different areas where they lived, and why they might have chosen the structures/materials they did to build their homes.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Show the students a diagram and make comparisons as to how far some Native groups had to travel by foot. It can also be mentioned that a lot of work had to be done for survival.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Go back to the “Learned” section of the KWL chart and fill in facts about Native American housing.</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If there is a question in the “Want to know” section that hasn’t been answered, make sure it is addressed before the conclusion of the lesson.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Once the KWL chart is complete, take the chart down, and ask them to write down five facts they learned about different houses.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Assessment: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The group will fill out the Learned category with the teacher.</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The students will write down 5 facts they learned.</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62626"/>
          <w:u w:val="single"/>
          <w:rtl w:val="0"/>
        </w:rPr>
        <w:t xml:space="preserve">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color w:val="262626"/>
          <w:sz w:val="28"/>
          <w:szCs w:val="28"/>
          <w:rtl w:val="0"/>
        </w:rPr>
        <w:t xml:space="preserve">Native American Houses (Native American Homes: Wigwams, Longhouses, Tepees, Lodges, and other American Indian houses)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http://www.native-languages.org/houses.htm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0" w:firstLine="140"/>
      </w:pPr>
      <w:rPr/>
    </w:lvl>
    <w:lvl w:ilvl="1">
      <w:start w:val="1"/>
      <w:numFmt w:val="lowerLetter"/>
      <w:lvlText w:val="%2."/>
      <w:lvlJc w:val="left"/>
      <w:pPr>
        <w:ind w:left="1220" w:firstLine="860"/>
      </w:pPr>
      <w:rPr/>
    </w:lvl>
    <w:lvl w:ilvl="2">
      <w:start w:val="1"/>
      <w:numFmt w:val="lowerRoman"/>
      <w:lvlText w:val="%3."/>
      <w:lvlJc w:val="right"/>
      <w:pPr>
        <w:ind w:left="1940" w:firstLine="1760"/>
      </w:pPr>
      <w:rPr/>
    </w:lvl>
    <w:lvl w:ilvl="3">
      <w:start w:val="1"/>
      <w:numFmt w:val="decimal"/>
      <w:lvlText w:val="%4."/>
      <w:lvlJc w:val="left"/>
      <w:pPr>
        <w:ind w:left="2660" w:firstLine="2300"/>
      </w:pPr>
      <w:rPr/>
    </w:lvl>
    <w:lvl w:ilvl="4">
      <w:start w:val="1"/>
      <w:numFmt w:val="lowerLetter"/>
      <w:lvlText w:val="%5."/>
      <w:lvlJc w:val="left"/>
      <w:pPr>
        <w:ind w:left="3380" w:firstLine="3020"/>
      </w:pPr>
      <w:rPr/>
    </w:lvl>
    <w:lvl w:ilvl="5">
      <w:start w:val="1"/>
      <w:numFmt w:val="lowerRoman"/>
      <w:lvlText w:val="%6."/>
      <w:lvlJc w:val="right"/>
      <w:pPr>
        <w:ind w:left="4100" w:firstLine="3920"/>
      </w:pPr>
      <w:rPr/>
    </w:lvl>
    <w:lvl w:ilvl="6">
      <w:start w:val="1"/>
      <w:numFmt w:val="decimal"/>
      <w:lvlText w:val="%7."/>
      <w:lvlJc w:val="left"/>
      <w:pPr>
        <w:ind w:left="4820" w:firstLine="4460"/>
      </w:pPr>
      <w:rPr/>
    </w:lvl>
    <w:lvl w:ilvl="7">
      <w:start w:val="1"/>
      <w:numFmt w:val="lowerLetter"/>
      <w:lvlText w:val="%8."/>
      <w:lvlJc w:val="left"/>
      <w:pPr>
        <w:ind w:left="5540" w:firstLine="5180"/>
      </w:pPr>
      <w:rPr/>
    </w:lvl>
    <w:lvl w:ilvl="8">
      <w:start w:val="1"/>
      <w:numFmt w:val="lowerRoman"/>
      <w:lvlText w:val="%9."/>
      <w:lvlJc w:val="right"/>
      <w:pPr>
        <w:ind w:left="6260" w:firstLine="608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