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Yueh Nordin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Lesson Planning (</w:t>
      </w:r>
      <w:r w:rsidDel="00000000" w:rsidR="00000000" w:rsidRPr="00000000">
        <w:rPr>
          <w:color w:val="353535"/>
          <w:sz w:val="20"/>
          <w:szCs w:val="20"/>
          <w:shd w:fill="fafafa" w:val="clear"/>
          <w:rtl w:val="0"/>
        </w:rPr>
        <w:t xml:space="preserve">5~12 Business Education)   Topic: Money Talks! (Addiction Discovery)</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The students will discover the percentage of use of chemicals in their class and discover the effects of these chemicals by research, group discussions and completing a worksheet with 90% accuracy..</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 Class activities:</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1. Pre-reading activates: Separating the students into 4~5 groups, students will produce a list of substances which will cause addictive behavior within groups and they will summarize a class list on the board.</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2. Each student will choose one item from the list to collect data. And while students are leaving the classroom, ask them to use a piece of paper and write “yes” or “no” on “Did you ever use any addictive substance?”, drop this paper in the box by the classroom door.</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3. Data Collection activities: Students will choose from the following two options to collect data –</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       [Option A] Real person data collection: Collect data from someone you know, collect data of how often/much so you need for your addictive behavior in one week, did you ever quit before, if on the scale of 1 (easiest) to 10 (hardest), which number will you describe for you to quit this addictive behavior?  </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       [Option B] Rehab data collection: How much will it cost for rehabilitation or medication if needed to relief the effort of withdrawing while quitting the addiction?</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4. Students will present their finding on one page paper and post them in the assigned area to display so all students can share the data they collected. The teacher will share the data on the step 2.</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5. Students will review other people’s postings as they collect data from other classmates’ postings.</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6. Teacher will use the collected data and lead discussion for the cost perspective of an addiction. Fill an “Addiction Worksheet” as an example and then each student will use this example to finish their own “Addiction Worksheet” (see below).</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7. After finishing “Addiction Worksheet”, students will go back to the original groups in step 1, they will share what they learned in these activities and what is still missing in these activities.</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8. Groups project. Each group will have a poster for the complete “Cost of Addition”.</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9. In summary, each student will write a short report: An “aha” you have in these activities.  </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Assessment:</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40% for Data Collection and “Addiction Worksheet”; 40% for “Cost of Addition”; 20% for students provide aha ideas.</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“Addiction Worksheet” –</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Addiction, How much it will cost per week? How much it will cost to quit this addition? What other cost? (Please list at least 3 reasons and put the estimated cost in numbers for each reason) More?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