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Amanda Haugstad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u w:val="single"/>
          <w:shd w:fill="fafafa" w:val="clear"/>
          <w:rtl w:val="0"/>
        </w:rPr>
        <w:t xml:space="preserve">Lesson: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Level: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12</w:t>
      </w:r>
      <w:r w:rsidDel="00000000" w:rsidR="00000000" w:rsidRPr="00000000">
        <w:rPr>
          <w:color w:val="353535"/>
          <w:sz w:val="20"/>
          <w:szCs w:val="20"/>
          <w:shd w:fill="fafafa" w:val="clear"/>
          <w:vertAlign w:val="superscript"/>
          <w:rtl w:val="0"/>
        </w:rPr>
        <w:t xml:space="preserve">th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grade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Objective: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 Students will understand what it is like to be homeless as a teenager.  They will collect data and then create fictitious journal entries, writing from the perspective of a homeless boy or girl in the US.  Journal entries will be completed in Spanish.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Snappy Launch: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Watch this video on homeless youth in the USA: </w:t>
      </w:r>
      <w:hyperlink r:id="rId5">
        <w:r w:rsidDel="00000000" w:rsidR="00000000" w:rsidRPr="00000000">
          <w:rPr>
            <w:color w:val="00617f"/>
            <w:sz w:val="20"/>
            <w:szCs w:val="20"/>
            <w:shd w:fill="fafafa" w:val="clear"/>
            <w:rtl w:val="0"/>
          </w:rPr>
          <w:t xml:space="preserve">http://www.youtube.com/watch?v=WS4HQvcNis8&amp;feature=related</w:t>
        </w:r>
      </w:hyperlink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Discuss reactions to the video as a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I will hand out various selections of data from the article from Jeff and data that is on the site I referenced above.  Using a Jigsaw activity, students will become experts on their data and then present it to others.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Assessment: 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create 2-3 journal entries (400-500 words total) from the perspective of a homeless teen.  Journal entries must be written in Spanish.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50%- Thoughtful reflection referencing at least 4 points from the data that was presented.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30%- Correct use of grammar with the incorporation of at least 6 different verb forms. Ex) present, past, subjunctive, future, etc.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10%- Creativity. 10%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10%- One paragraph of personal reflection on what the biggest taken away from this activity was for the student.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Bonus (5 pts):  Share what you learned with a friend or family member and write a brief paragraph sharing what they thought.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WS4HQvcNis8&amp;feature=related" TargetMode="External"/></Relationships>
</file>