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Sarah Hansen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53535"/>
          <w:sz w:val="20"/>
          <w:szCs w:val="20"/>
          <w:shd w:fill="fafafa" w:val="clear"/>
          <w:rtl w:val="0"/>
        </w:rPr>
        <w:t xml:space="preserve">Lesson (inspired by </w:t>
      </w:r>
      <w:hyperlink r:id="rId5">
        <w:r w:rsidDel="00000000" w:rsidR="00000000" w:rsidRPr="00000000">
          <w:rPr>
            <w:color w:val="00617f"/>
            <w:sz w:val="20"/>
            <w:szCs w:val="20"/>
            <w:shd w:fill="fafafa" w:val="clear"/>
            <w:rtl w:val="0"/>
          </w:rPr>
          <w:t xml:space="preserve">http://teens.drugabuse.gov/blog/wp-content/uploads/2011/09/KTS-braingame.bmp</w:t>
        </w:r>
      </w:hyperlink>
      <w:r w:rsidDel="00000000" w:rsidR="00000000" w:rsidRPr="00000000">
        <w:rPr>
          <w:color w:val="353535"/>
          <w:sz w:val="20"/>
          <w:szCs w:val="20"/>
          <w:shd w:fill="fafafa" w:val="clear"/>
          <w:rtl w:val="0"/>
        </w:rPr>
        <w:t xml:space="preserve">)</w:t>
        <w:br w:type="textWrapping"/>
        <w:br w:type="textWrapping"/>
        <w:t xml:space="preserve">Objective: The student will be able to objectively describe the different aspects of line and bar graphs (including histograms) illustrating numerical and correlational relationships between age and drug abuse. </w:t>
        <w:br w:type="textWrapping"/>
        <w:br w:type="textWrapping"/>
        <w:t xml:space="preserve">Activity: The students will be provided with a variety of graphs illustrating the relationships between age of users and multiple dependent variables, including percent of dependence (see inspirational graph). For line graphs and scatterplots, the students will be asked to describe the direction, form, and strength of the linear relationship. For bar graphs and histograms, the students will be asked to describe the form of the categorical relationship. After the student writes the descriptions, groups of students (2 - 4) will be directed to write a summary paragraph of their descriptions along with any advice they wish to tell other students their age.</w:t>
        <w:br w:type="textWrapping"/>
        <w:br w:type="textWrapping"/>
        <w:t xml:space="preserve">Assessment</w:t>
        <w:br w:type="textWrapping"/>
        <w:t xml:space="preserve">Descriptions of the line graphs and scatterplots: 4 points</w:t>
        <w:br w:type="textWrapping"/>
        <w:t xml:space="preserve">Descriptions of the bar graphs and histograms: 4 points</w:t>
        <w:br w:type="textWrapping"/>
        <w:t xml:space="preserve">Summary and advice paragraph: 2 points</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teens.drugabuse.gov/blog/wp-content/uploads/2011/09/KTS-braingame.bmp" TargetMode="External"/></Relationships>
</file>